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0000"/>
      </w:tblGrid>
      <w:tr w:rsidR="00BC3715" w14:paraId="31B6DD8B" w14:textId="77777777">
        <w:tblPrEx>
          <w:tblCellMar>
            <w:top w:w="0" w:type="dxa"/>
            <w:left w:w="0" w:type="dxa"/>
            <w:bottom w:w="0" w:type="dxa"/>
            <w:right w:w="0" w:type="dxa"/>
          </w:tblCellMar>
        </w:tblPrEx>
        <w:tc>
          <w:tcPr>
            <w:tcW w:w="8748" w:type="dxa"/>
            <w:tcBorders>
              <w:top w:val="nil"/>
              <w:left w:val="nil"/>
              <w:bottom w:val="nil"/>
              <w:right w:val="nil"/>
            </w:tcBorders>
            <w:vAlign w:val="center"/>
          </w:tcPr>
          <w:tbl>
            <w:tblPr>
              <w:tblW w:w="10000" w:type="dxa"/>
              <w:tblBorders>
                <w:top w:val="nil"/>
                <w:left w:val="nil"/>
                <w:right w:val="nil"/>
              </w:tblBorders>
              <w:tblLayout w:type="fixed"/>
              <w:tblCellMar>
                <w:left w:w="0" w:type="dxa"/>
                <w:right w:w="0" w:type="dxa"/>
              </w:tblCellMar>
              <w:tblLook w:val="0000" w:firstRow="0" w:lastRow="0" w:firstColumn="0" w:lastColumn="0" w:noHBand="0" w:noVBand="0"/>
            </w:tblPr>
            <w:tblGrid>
              <w:gridCol w:w="10000"/>
            </w:tblGrid>
            <w:tr w:rsidR="00BC3715" w14:paraId="1DF0D2BE" w14:textId="77777777">
              <w:tblPrEx>
                <w:tblCellMar>
                  <w:top w:w="0" w:type="dxa"/>
                  <w:left w:w="0" w:type="dxa"/>
                  <w:bottom w:w="0" w:type="dxa"/>
                  <w:right w:w="0" w:type="dxa"/>
                </w:tblCellMar>
              </w:tblPrEx>
              <w:tc>
                <w:tcPr>
                  <w:tcW w:w="10000" w:type="dxa"/>
                  <w:tcBorders>
                    <w:top w:val="nil"/>
                    <w:left w:val="nil"/>
                    <w:bottom w:val="nil"/>
                    <w:right w:val="nil"/>
                  </w:tcBorders>
                  <w:tcMar>
                    <w:left w:w="200" w:type="nil"/>
                    <w:bottom w:w="200" w:type="nil"/>
                  </w:tcMar>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320"/>
                    <w:gridCol w:w="320"/>
                    <w:gridCol w:w="320"/>
                    <w:gridCol w:w="7788"/>
                  </w:tblGrid>
                  <w:tr w:rsidR="00BC3715" w14:paraId="4DC030BC" w14:textId="77777777">
                    <w:tblPrEx>
                      <w:tblCellMar>
                        <w:top w:w="0" w:type="dxa"/>
                        <w:left w:w="0" w:type="dxa"/>
                        <w:bottom w:w="0" w:type="dxa"/>
                        <w:right w:w="0" w:type="dxa"/>
                      </w:tblCellMar>
                    </w:tblPrEx>
                    <w:tc>
                      <w:tcPr>
                        <w:tcW w:w="320" w:type="dxa"/>
                        <w:tcBorders>
                          <w:top w:val="nil"/>
                          <w:left w:val="nil"/>
                          <w:bottom w:val="nil"/>
                          <w:right w:val="nil"/>
                        </w:tcBorders>
                        <w:tcMar>
                          <w:right w:w="100" w:type="nil"/>
                        </w:tcMar>
                        <w:vAlign w:val="center"/>
                      </w:tcPr>
                      <w:p w14:paraId="52EEEA18" w14:textId="77777777" w:rsidR="00BC3715" w:rsidRDefault="00BC3715">
                        <w:pPr>
                          <w:widowControl w:val="0"/>
                          <w:autoSpaceDE w:val="0"/>
                          <w:autoSpaceDN w:val="0"/>
                          <w:adjustRightInd w:val="0"/>
                          <w:rPr>
                            <w:rFonts w:ascii="Helvetica" w:hAnsi="Helvetica" w:cs="Helvetica"/>
                          </w:rPr>
                        </w:pPr>
                      </w:p>
                    </w:tc>
                    <w:tc>
                      <w:tcPr>
                        <w:tcW w:w="320" w:type="dxa"/>
                        <w:tcBorders>
                          <w:top w:val="nil"/>
                          <w:left w:val="nil"/>
                          <w:bottom w:val="nil"/>
                          <w:right w:val="nil"/>
                        </w:tcBorders>
                        <w:tcMar>
                          <w:right w:w="100" w:type="nil"/>
                        </w:tcMar>
                        <w:vAlign w:val="center"/>
                      </w:tcPr>
                      <w:p w14:paraId="329770F6" w14:textId="77777777" w:rsidR="00BC3715" w:rsidRDefault="00BC3715">
                        <w:pPr>
                          <w:widowControl w:val="0"/>
                          <w:autoSpaceDE w:val="0"/>
                          <w:autoSpaceDN w:val="0"/>
                          <w:adjustRightInd w:val="0"/>
                          <w:rPr>
                            <w:rFonts w:ascii="Helvetica" w:hAnsi="Helvetica" w:cs="Helvetica"/>
                          </w:rPr>
                        </w:pPr>
                      </w:p>
                    </w:tc>
                    <w:tc>
                      <w:tcPr>
                        <w:tcW w:w="320" w:type="dxa"/>
                        <w:tcBorders>
                          <w:top w:val="nil"/>
                          <w:left w:val="nil"/>
                          <w:bottom w:val="nil"/>
                          <w:right w:val="nil"/>
                        </w:tcBorders>
                        <w:tcMar>
                          <w:right w:w="100" w:type="nil"/>
                        </w:tcMar>
                        <w:vAlign w:val="center"/>
                      </w:tcPr>
                      <w:p w14:paraId="76D569D3" w14:textId="77777777" w:rsidR="00BC3715" w:rsidRDefault="00BC3715">
                        <w:pPr>
                          <w:widowControl w:val="0"/>
                          <w:autoSpaceDE w:val="0"/>
                          <w:autoSpaceDN w:val="0"/>
                          <w:adjustRightInd w:val="0"/>
                          <w:rPr>
                            <w:rFonts w:ascii="Helvetica" w:hAnsi="Helvetica" w:cs="Helvetica"/>
                          </w:rPr>
                        </w:pPr>
                      </w:p>
                    </w:tc>
                    <w:tc>
                      <w:tcPr>
                        <w:tcW w:w="320" w:type="dxa"/>
                        <w:tcBorders>
                          <w:top w:val="nil"/>
                          <w:left w:val="nil"/>
                          <w:bottom w:val="nil"/>
                          <w:right w:val="nil"/>
                        </w:tcBorders>
                        <w:tcMar>
                          <w:right w:w="100" w:type="nil"/>
                        </w:tcMar>
                        <w:vAlign w:val="center"/>
                      </w:tcPr>
                      <w:p w14:paraId="7449C965" w14:textId="77777777" w:rsidR="00BC3715" w:rsidRDefault="00BC3715">
                        <w:pPr>
                          <w:widowControl w:val="0"/>
                          <w:autoSpaceDE w:val="0"/>
                          <w:autoSpaceDN w:val="0"/>
                          <w:adjustRightInd w:val="0"/>
                          <w:rPr>
                            <w:rFonts w:ascii="Helvetica" w:hAnsi="Helvetica" w:cs="Helvetica"/>
                          </w:rPr>
                        </w:pPr>
                      </w:p>
                    </w:tc>
                  </w:tr>
                </w:tbl>
                <w:p w14:paraId="1DF6BE57" w14:textId="77777777" w:rsidR="00BC3715" w:rsidRDefault="00BC3715">
                  <w:pPr>
                    <w:widowControl w:val="0"/>
                    <w:autoSpaceDE w:val="0"/>
                    <w:autoSpaceDN w:val="0"/>
                    <w:adjustRightInd w:val="0"/>
                    <w:rPr>
                      <w:rFonts w:ascii="Helvetica" w:hAnsi="Helvetica" w:cs="Helvetica"/>
                      <w:color w:val="262626"/>
                      <w:sz w:val="50"/>
                      <w:szCs w:val="50"/>
                    </w:rPr>
                  </w:pPr>
                  <w:r>
                    <w:rPr>
                      <w:rFonts w:ascii="Helvetica" w:hAnsi="Helvetica" w:cs="Helvetica"/>
                      <w:color w:val="262626"/>
                      <w:sz w:val="50"/>
                      <w:szCs w:val="50"/>
                    </w:rPr>
                    <w:t>Addressing Compassion Fatigue and Burnout in Integrated Care</w:t>
                  </w:r>
                </w:p>
              </w:tc>
            </w:tr>
            <w:tr w:rsidR="00BC3715" w14:paraId="150BAC83" w14:textId="77777777">
              <w:tblPrEx>
                <w:tblCellMar>
                  <w:top w:w="0" w:type="dxa"/>
                  <w:left w:w="0" w:type="dxa"/>
                  <w:bottom w:w="0" w:type="dxa"/>
                  <w:right w:w="0" w:type="dxa"/>
                </w:tblCellMar>
              </w:tblPrEx>
              <w:tc>
                <w:tcPr>
                  <w:tcW w:w="10000" w:type="dxa"/>
                  <w:tcBorders>
                    <w:top w:val="nil"/>
                    <w:left w:val="nil"/>
                    <w:bottom w:val="nil"/>
                    <w:right w:val="nil"/>
                  </w:tcBorders>
                  <w:vAlign w:val="center"/>
                </w:tcPr>
                <w:p w14:paraId="3AD19346" w14:textId="77777777" w:rsidR="00BC3715" w:rsidRDefault="00BC3715">
                  <w:pPr>
                    <w:widowControl w:val="0"/>
                    <w:autoSpaceDE w:val="0"/>
                    <w:autoSpaceDN w:val="0"/>
                    <w:adjustRightInd w:val="0"/>
                    <w:rPr>
                      <w:rFonts w:ascii="Arial" w:hAnsi="Arial" w:cs="Arial"/>
                      <w:color w:val="1A1A1A"/>
                      <w:sz w:val="25"/>
                      <w:szCs w:val="25"/>
                    </w:rPr>
                  </w:pPr>
                </w:p>
              </w:tc>
            </w:tr>
            <w:tr w:rsidR="00BC3715" w14:paraId="3ED0D9F6" w14:textId="77777777">
              <w:tblPrEx>
                <w:tblBorders>
                  <w:top w:val="none" w:sz="0" w:space="0" w:color="auto"/>
                </w:tblBorders>
                <w:tblCellMar>
                  <w:top w:w="0" w:type="dxa"/>
                  <w:left w:w="0" w:type="dxa"/>
                  <w:bottom w:w="0" w:type="dxa"/>
                  <w:right w:w="0" w:type="dxa"/>
                </w:tblCellMar>
              </w:tblPrEx>
              <w:tc>
                <w:tcPr>
                  <w:tcW w:w="10000" w:type="dxa"/>
                  <w:tcBorders>
                    <w:top w:val="nil"/>
                    <w:left w:val="nil"/>
                    <w:bottom w:val="nil"/>
                    <w:right w:val="nil"/>
                  </w:tcBorders>
                  <w:vAlign w:val="center"/>
                </w:tcPr>
                <w:p w14:paraId="7BE5ED63" w14:textId="77777777" w:rsidR="00BC3715" w:rsidRDefault="00BC3715">
                  <w:pPr>
                    <w:widowControl w:val="0"/>
                    <w:autoSpaceDE w:val="0"/>
                    <w:autoSpaceDN w:val="0"/>
                    <w:adjustRightInd w:val="0"/>
                    <w:rPr>
                      <w:rFonts w:ascii="Arial" w:hAnsi="Arial" w:cs="Arial"/>
                      <w:color w:val="1A1A1A"/>
                      <w:sz w:val="25"/>
                      <w:szCs w:val="25"/>
                    </w:rPr>
                  </w:pPr>
                </w:p>
              </w:tc>
            </w:tr>
            <w:tr w:rsidR="00BC3715" w14:paraId="48B10594" w14:textId="77777777">
              <w:tblPrEx>
                <w:tblCellMar>
                  <w:top w:w="0" w:type="dxa"/>
                  <w:left w:w="0" w:type="dxa"/>
                  <w:bottom w:w="0" w:type="dxa"/>
                  <w:right w:w="0" w:type="dxa"/>
                </w:tblCellMar>
              </w:tblPrEx>
              <w:tc>
                <w:tcPr>
                  <w:tcW w:w="10000" w:type="dxa"/>
                  <w:tcBorders>
                    <w:top w:val="nil"/>
                    <w:left w:val="nil"/>
                    <w:bottom w:val="nil"/>
                    <w:right w:val="nil"/>
                  </w:tcBorders>
                  <w:vAlign w:val="center"/>
                </w:tcPr>
                <w:p w14:paraId="6D469AE4" w14:textId="77777777" w:rsidR="00BC3715" w:rsidRDefault="00BC3715">
                  <w:pPr>
                    <w:widowControl w:val="0"/>
                    <w:autoSpaceDE w:val="0"/>
                    <w:autoSpaceDN w:val="0"/>
                    <w:adjustRightInd w:val="0"/>
                    <w:rPr>
                      <w:rFonts w:ascii="Arial" w:hAnsi="Arial" w:cs="Arial"/>
                      <w:color w:val="1A1A1A"/>
                      <w:sz w:val="25"/>
                      <w:szCs w:val="25"/>
                    </w:rPr>
                  </w:pPr>
                </w:p>
              </w:tc>
            </w:tr>
            <w:tr w:rsidR="00BC3715" w14:paraId="2839881F" w14:textId="77777777">
              <w:tblPrEx>
                <w:tblCellMar>
                  <w:top w:w="0" w:type="dxa"/>
                  <w:left w:w="0" w:type="dxa"/>
                  <w:bottom w:w="0" w:type="dxa"/>
                  <w:right w:w="0" w:type="dxa"/>
                </w:tblCellMar>
              </w:tblPrEx>
              <w:tc>
                <w:tcPr>
                  <w:tcW w:w="10000" w:type="dxa"/>
                  <w:tcBorders>
                    <w:top w:val="nil"/>
                    <w:left w:val="nil"/>
                    <w:bottom w:val="nil"/>
                    <w:right w:val="nil"/>
                  </w:tcBorders>
                  <w:vAlign w:val="center"/>
                </w:tcPr>
                <w:p w14:paraId="4A2FD635" w14:textId="77777777" w:rsidR="00BC3715" w:rsidRDefault="00BC3715">
                  <w:pPr>
                    <w:widowControl w:val="0"/>
                    <w:autoSpaceDE w:val="0"/>
                    <w:autoSpaceDN w:val="0"/>
                    <w:adjustRightInd w:val="0"/>
                    <w:rPr>
                      <w:rFonts w:ascii="Arial" w:hAnsi="Arial" w:cs="Arial"/>
                      <w:color w:val="1A1A1A"/>
                      <w:sz w:val="25"/>
                      <w:szCs w:val="25"/>
                    </w:rPr>
                  </w:pPr>
                </w:p>
              </w:tc>
            </w:tr>
            <w:tr w:rsidR="00BC3715" w14:paraId="3E39986F" w14:textId="77777777">
              <w:tblPrEx>
                <w:tblBorders>
                  <w:top w:val="none" w:sz="0" w:space="0" w:color="auto"/>
                </w:tblBorders>
                <w:tblCellMar>
                  <w:top w:w="0" w:type="dxa"/>
                  <w:left w:w="0" w:type="dxa"/>
                  <w:bottom w:w="0" w:type="dxa"/>
                  <w:right w:w="0" w:type="dxa"/>
                </w:tblCellMar>
              </w:tblPrEx>
              <w:tc>
                <w:tcPr>
                  <w:tcW w:w="10000" w:type="dxa"/>
                  <w:tcBorders>
                    <w:top w:val="nil"/>
                    <w:left w:val="nil"/>
                    <w:bottom w:val="nil"/>
                    <w:right w:val="nil"/>
                  </w:tcBorders>
                  <w:tcMar>
                    <w:left w:w="100" w:type="nil"/>
                  </w:tcMar>
                  <w:vAlign w:val="center"/>
                </w:tcPr>
                <w:p w14:paraId="4227D112" w14:textId="77777777" w:rsidR="00BC3715" w:rsidRDefault="00BC3715">
                  <w:pPr>
                    <w:widowControl w:val="0"/>
                    <w:autoSpaceDE w:val="0"/>
                    <w:autoSpaceDN w:val="0"/>
                    <w:adjustRightInd w:val="0"/>
                    <w:rPr>
                      <w:rFonts w:ascii="Century Gothic" w:hAnsi="Century Gothic" w:cs="Century Gothic"/>
                      <w:color w:val="535353"/>
                      <w:sz w:val="28"/>
                      <w:szCs w:val="28"/>
                    </w:rPr>
                  </w:pPr>
                  <w:r>
                    <w:rPr>
                      <w:rFonts w:ascii="Century Gothic" w:hAnsi="Century Gothic" w:cs="Century Gothic"/>
                      <w:color w:val="535353"/>
                      <w:sz w:val="28"/>
                      <w:szCs w:val="28"/>
                    </w:rPr>
                    <w:t xml:space="preserve">For the integrated care workforce, addressing the complex needs of individuals with numerous and serious behavioral and physical health difficulties increases staff risk of </w:t>
                  </w:r>
                  <w:hyperlink r:id="rId5" w:history="1">
                    <w:r>
                      <w:rPr>
                        <w:rFonts w:ascii="Century Gothic" w:hAnsi="Century Gothic" w:cs="Century Gothic"/>
                        <w:color w:val="103CC0"/>
                        <w:sz w:val="28"/>
                        <w:szCs w:val="28"/>
                        <w:u w:val="single" w:color="103CC0"/>
                      </w:rPr>
                      <w:t>experiencing symptoms</w:t>
                    </w:r>
                  </w:hyperlink>
                  <w:r>
                    <w:rPr>
                      <w:rFonts w:ascii="Century Gothic" w:hAnsi="Century Gothic" w:cs="Century Gothic"/>
                      <w:color w:val="535353"/>
                      <w:sz w:val="28"/>
                      <w:szCs w:val="28"/>
                    </w:rPr>
                    <w:t xml:space="preserve"> associated with burnout and compassion fatigue. Christina </w:t>
                  </w:r>
                  <w:proofErr w:type="spellStart"/>
                  <w:r>
                    <w:rPr>
                      <w:rFonts w:ascii="Century Gothic" w:hAnsi="Century Gothic" w:cs="Century Gothic"/>
                      <w:color w:val="535353"/>
                      <w:sz w:val="28"/>
                      <w:szCs w:val="28"/>
                    </w:rPr>
                    <w:t>Maslach</w:t>
                  </w:r>
                  <w:proofErr w:type="spellEnd"/>
                  <w:r>
                    <w:rPr>
                      <w:rFonts w:ascii="Century Gothic" w:hAnsi="Century Gothic" w:cs="Century Gothic"/>
                      <w:color w:val="535353"/>
                      <w:sz w:val="28"/>
                      <w:szCs w:val="28"/>
                    </w:rPr>
                    <w:t>, a researcher with extensive professional experience studying the field of work burnout, defines burnout as “feelings of exhaustion, a cynical attitude toward the job and people involved in the job, and a reduced personal accomplishment or work efficiency. Burnout can be thought of as 'taking away a person’s spirit and will.'”</w:t>
                  </w:r>
                </w:p>
                <w:p w14:paraId="0C8C8824" w14:textId="77777777" w:rsidR="00BC3715" w:rsidRDefault="00BC3715">
                  <w:pPr>
                    <w:widowControl w:val="0"/>
                    <w:autoSpaceDE w:val="0"/>
                    <w:autoSpaceDN w:val="0"/>
                    <w:adjustRightInd w:val="0"/>
                    <w:rPr>
                      <w:rFonts w:ascii="Century Gothic" w:hAnsi="Century Gothic" w:cs="Century Gothic"/>
                      <w:color w:val="535353"/>
                      <w:sz w:val="28"/>
                      <w:szCs w:val="28"/>
                    </w:rPr>
                  </w:pPr>
                  <w:r>
                    <w:rPr>
                      <w:rFonts w:ascii="Century Gothic" w:hAnsi="Century Gothic" w:cs="Century Gothic"/>
                      <w:color w:val="535353"/>
                      <w:sz w:val="28"/>
                      <w:szCs w:val="28"/>
                    </w:rPr>
                    <w:t>Burnout may be the result of workload demands, poor organizational practices, intense time pressures, unsupportive relationships with supervisors and co-workers, and lack of control across work environments. In addition to organizational factors, healthcare and social services providers face unique challenges associated with addressing the needs of people with serious behavioral and/or physical health difficulties. The frequent listening to and/or direct observation of the suffering of others may elicit strong emotional, psychological, and physical reactions that lead to emotional exhaustion, a cynical attitude towards one’s work, and a loss of empathic connections to others.</w:t>
                  </w:r>
                </w:p>
                <w:p w14:paraId="064F9670" w14:textId="77777777" w:rsidR="00BC3715" w:rsidRDefault="00BC3715">
                  <w:pPr>
                    <w:widowControl w:val="0"/>
                    <w:autoSpaceDE w:val="0"/>
                    <w:autoSpaceDN w:val="0"/>
                    <w:adjustRightInd w:val="0"/>
                    <w:rPr>
                      <w:rFonts w:ascii="Century Gothic" w:hAnsi="Century Gothic" w:cs="Century Gothic"/>
                      <w:color w:val="535353"/>
                      <w:sz w:val="28"/>
                      <w:szCs w:val="28"/>
                    </w:rPr>
                  </w:pPr>
                  <w:r>
                    <w:rPr>
                      <w:rFonts w:ascii="Century Gothic" w:hAnsi="Century Gothic" w:cs="Century Gothic"/>
                      <w:b/>
                      <w:bCs/>
                      <w:color w:val="535353"/>
                      <w:sz w:val="28"/>
                      <w:szCs w:val="28"/>
                    </w:rPr>
                    <w:t>The Symptoms of Burnout and Compassion Fatigue</w:t>
                  </w:r>
                </w:p>
                <w:p w14:paraId="364AF37F" w14:textId="77777777" w:rsidR="00BC3715" w:rsidRDefault="00BC3715">
                  <w:pPr>
                    <w:widowControl w:val="0"/>
                    <w:numPr>
                      <w:ilvl w:val="0"/>
                      <w:numId w:val="1"/>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Emotional coping difficulties</w:t>
                  </w:r>
                </w:p>
                <w:p w14:paraId="746C1A70" w14:textId="77777777" w:rsidR="00BC3715" w:rsidRDefault="00BC3715">
                  <w:pPr>
                    <w:widowControl w:val="0"/>
                    <w:numPr>
                      <w:ilvl w:val="0"/>
                      <w:numId w:val="1"/>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Anxiety</w:t>
                  </w:r>
                </w:p>
                <w:p w14:paraId="723F2994" w14:textId="77777777" w:rsidR="00BC3715" w:rsidRDefault="00BC3715">
                  <w:pPr>
                    <w:widowControl w:val="0"/>
                    <w:numPr>
                      <w:ilvl w:val="0"/>
                      <w:numId w:val="1"/>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Dreading working for or taking care of another person and </w:t>
                  </w:r>
                  <w:hyperlink r:id="rId6" w:history="1">
                    <w:r>
                      <w:rPr>
                        <w:rFonts w:ascii="Century Gothic" w:hAnsi="Century Gothic" w:cs="Century Gothic"/>
                        <w:color w:val="103CC0"/>
                        <w:sz w:val="28"/>
                        <w:szCs w:val="28"/>
                        <w:u w:val="single" w:color="103CC0"/>
                      </w:rPr>
                      <w:t>feeling guilty</w:t>
                    </w:r>
                  </w:hyperlink>
                  <w:r>
                    <w:rPr>
                      <w:rFonts w:ascii="Century Gothic" w:hAnsi="Century Gothic" w:cs="Century Gothic"/>
                      <w:color w:val="535353"/>
                      <w:sz w:val="28"/>
                      <w:szCs w:val="28"/>
                    </w:rPr>
                    <w:t> as a result</w:t>
                  </w:r>
                </w:p>
                <w:p w14:paraId="7C2B0C5F" w14:textId="77777777" w:rsidR="00BC3715" w:rsidRDefault="00BC3715">
                  <w:pPr>
                    <w:widowControl w:val="0"/>
                    <w:numPr>
                      <w:ilvl w:val="0"/>
                      <w:numId w:val="1"/>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 xml:space="preserve">Feelings of irritability and </w:t>
                  </w:r>
                  <w:r>
                    <w:rPr>
                      <w:rFonts w:ascii="Century Gothic" w:hAnsi="Century Gothic" w:cs="Century Gothic"/>
                      <w:color w:val="535353"/>
                      <w:sz w:val="28"/>
                      <w:szCs w:val="28"/>
                      <w:u w:val="single"/>
                    </w:rPr>
                    <w:t>anger</w:t>
                  </w:r>
                </w:p>
                <w:p w14:paraId="1A869139" w14:textId="77777777" w:rsidR="00BC3715" w:rsidRDefault="00BC3715">
                  <w:pPr>
                    <w:widowControl w:val="0"/>
                    <w:numPr>
                      <w:ilvl w:val="0"/>
                      <w:numId w:val="1"/>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Hypersensitivity or complete insensitivity to emotional material</w:t>
                  </w:r>
                </w:p>
                <w:p w14:paraId="377E0329" w14:textId="77777777" w:rsidR="00BC3715" w:rsidRDefault="00BC3715">
                  <w:pPr>
                    <w:widowControl w:val="0"/>
                    <w:numPr>
                      <w:ilvl w:val="0"/>
                      <w:numId w:val="1"/>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Depression and PTSD-related symptoms</w:t>
                  </w:r>
                </w:p>
                <w:p w14:paraId="784C125C" w14:textId="77777777" w:rsidR="00BC3715" w:rsidRDefault="00BC3715">
                  <w:pPr>
                    <w:widowControl w:val="0"/>
                    <w:numPr>
                      <w:ilvl w:val="0"/>
                      <w:numId w:val="1"/>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Loss of self-worth</w:t>
                  </w:r>
                </w:p>
                <w:p w14:paraId="196944CB" w14:textId="77777777" w:rsidR="00BC3715" w:rsidRDefault="00BC3715">
                  <w:pPr>
                    <w:widowControl w:val="0"/>
                    <w:numPr>
                      <w:ilvl w:val="0"/>
                      <w:numId w:val="1"/>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Insomnia</w:t>
                  </w:r>
                </w:p>
                <w:p w14:paraId="7680CC7A" w14:textId="77777777" w:rsidR="00BC3715" w:rsidRDefault="00BC3715">
                  <w:pPr>
                    <w:widowControl w:val="0"/>
                    <w:numPr>
                      <w:ilvl w:val="0"/>
                      <w:numId w:val="1"/>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Alcohol or substance abuse</w:t>
                  </w:r>
                </w:p>
                <w:p w14:paraId="46314F05" w14:textId="77777777" w:rsidR="00BC3715" w:rsidRDefault="00BC3715">
                  <w:pPr>
                    <w:widowControl w:val="0"/>
                    <w:autoSpaceDE w:val="0"/>
                    <w:autoSpaceDN w:val="0"/>
                    <w:adjustRightInd w:val="0"/>
                    <w:rPr>
                      <w:rFonts w:ascii="Century Gothic" w:hAnsi="Century Gothic" w:cs="Century Gothic"/>
                      <w:color w:val="535353"/>
                      <w:sz w:val="28"/>
                      <w:szCs w:val="28"/>
                    </w:rPr>
                  </w:pPr>
                  <w:r>
                    <w:rPr>
                      <w:rFonts w:ascii="Century Gothic" w:hAnsi="Century Gothic" w:cs="Century Gothic"/>
                      <w:color w:val="535353"/>
                      <w:sz w:val="28"/>
                      <w:szCs w:val="28"/>
                    </w:rPr>
                    <w:lastRenderedPageBreak/>
                    <w:t>Physical Symptoms and Increased Vulnerability to Illnesses</w:t>
                  </w:r>
                </w:p>
                <w:p w14:paraId="6CB13F77" w14:textId="77777777" w:rsidR="00BC3715" w:rsidRDefault="00BC3715">
                  <w:pPr>
                    <w:widowControl w:val="0"/>
                    <w:numPr>
                      <w:ilvl w:val="0"/>
                      <w:numId w:val="2"/>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Fatigue</w:t>
                  </w:r>
                </w:p>
                <w:p w14:paraId="66DCB176" w14:textId="77777777" w:rsidR="00BC3715" w:rsidRDefault="00BC3715">
                  <w:pPr>
                    <w:widowControl w:val="0"/>
                    <w:numPr>
                      <w:ilvl w:val="0"/>
                      <w:numId w:val="2"/>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Heart disease</w:t>
                  </w:r>
                </w:p>
                <w:p w14:paraId="3B90F82C" w14:textId="77777777" w:rsidR="00BC3715" w:rsidRDefault="00BC3715">
                  <w:pPr>
                    <w:widowControl w:val="0"/>
                    <w:numPr>
                      <w:ilvl w:val="0"/>
                      <w:numId w:val="2"/>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High cholesterol</w:t>
                  </w:r>
                </w:p>
                <w:p w14:paraId="438D96F0" w14:textId="77777777" w:rsidR="00BC3715" w:rsidRDefault="00BC3715">
                  <w:pPr>
                    <w:widowControl w:val="0"/>
                    <w:numPr>
                      <w:ilvl w:val="0"/>
                      <w:numId w:val="2"/>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Type 2 diabetes, especially in women</w:t>
                  </w:r>
                </w:p>
                <w:p w14:paraId="29E43EB2" w14:textId="77777777" w:rsidR="00BC3715" w:rsidRDefault="00BC3715">
                  <w:pPr>
                    <w:widowControl w:val="0"/>
                    <w:numPr>
                      <w:ilvl w:val="0"/>
                      <w:numId w:val="2"/>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Stroke</w:t>
                  </w:r>
                </w:p>
                <w:p w14:paraId="3445ED69" w14:textId="77777777" w:rsidR="00BC3715" w:rsidRDefault="00BC3715">
                  <w:pPr>
                    <w:widowControl w:val="0"/>
                    <w:numPr>
                      <w:ilvl w:val="0"/>
                      <w:numId w:val="2"/>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Obesity</w:t>
                  </w:r>
                </w:p>
                <w:p w14:paraId="79B19834" w14:textId="77777777" w:rsidR="00BC3715" w:rsidRDefault="00BC3715">
                  <w:pPr>
                    <w:widowControl w:val="0"/>
                    <w:numPr>
                      <w:ilvl w:val="0"/>
                      <w:numId w:val="2"/>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Depersonalization</w:t>
                  </w:r>
                </w:p>
                <w:p w14:paraId="2D28F289" w14:textId="77777777" w:rsidR="00BC3715" w:rsidRDefault="00BC3715">
                  <w:pPr>
                    <w:widowControl w:val="0"/>
                    <w:numPr>
                      <w:ilvl w:val="0"/>
                      <w:numId w:val="2"/>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Headaches</w:t>
                  </w:r>
                </w:p>
                <w:p w14:paraId="16ED3E20" w14:textId="77777777" w:rsidR="00BC3715" w:rsidRDefault="00BC3715">
                  <w:pPr>
                    <w:widowControl w:val="0"/>
                    <w:numPr>
                      <w:ilvl w:val="0"/>
                      <w:numId w:val="2"/>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Weight loss</w:t>
                  </w:r>
                </w:p>
                <w:p w14:paraId="267508A0" w14:textId="77777777" w:rsidR="00BC3715" w:rsidRDefault="00BC3715">
                  <w:pPr>
                    <w:widowControl w:val="0"/>
                    <w:autoSpaceDE w:val="0"/>
                    <w:autoSpaceDN w:val="0"/>
                    <w:adjustRightInd w:val="0"/>
                    <w:rPr>
                      <w:rFonts w:ascii="Century Gothic" w:hAnsi="Century Gothic" w:cs="Century Gothic"/>
                      <w:color w:val="535353"/>
                      <w:sz w:val="28"/>
                      <w:szCs w:val="28"/>
                    </w:rPr>
                  </w:pPr>
                  <w:r>
                    <w:rPr>
                      <w:rFonts w:ascii="Century Gothic" w:hAnsi="Century Gothic" w:cs="Century Gothic"/>
                      <w:color w:val="535353"/>
                      <w:sz w:val="28"/>
                      <w:szCs w:val="28"/>
                    </w:rPr>
                    <w:t>Functional Difficulties</w:t>
                  </w:r>
                </w:p>
                <w:p w14:paraId="72D8A209" w14:textId="77777777" w:rsidR="00BC3715" w:rsidRDefault="00BC3715">
                  <w:pPr>
                    <w:widowControl w:val="0"/>
                    <w:numPr>
                      <w:ilvl w:val="0"/>
                      <w:numId w:val="3"/>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Impaired decision-making</w:t>
                  </w:r>
                </w:p>
                <w:p w14:paraId="7BCD3125" w14:textId="77777777" w:rsidR="00BC3715" w:rsidRDefault="00BC3715">
                  <w:pPr>
                    <w:widowControl w:val="0"/>
                    <w:numPr>
                      <w:ilvl w:val="0"/>
                      <w:numId w:val="3"/>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Feelings of inequity toward the therapeutic or </w:t>
                  </w:r>
                  <w:hyperlink r:id="rId7" w:history="1">
                    <w:r>
                      <w:rPr>
                        <w:rFonts w:ascii="Century Gothic" w:hAnsi="Century Gothic" w:cs="Century Gothic"/>
                        <w:color w:val="103CC0"/>
                        <w:sz w:val="28"/>
                        <w:szCs w:val="28"/>
                        <w:u w:val="single" w:color="103CC0"/>
                      </w:rPr>
                      <w:t>caregiver</w:t>
                    </w:r>
                  </w:hyperlink>
                  <w:r>
                    <w:rPr>
                      <w:rFonts w:ascii="Century Gothic" w:hAnsi="Century Gothic" w:cs="Century Gothic"/>
                      <w:color w:val="535353"/>
                      <w:sz w:val="28"/>
                      <w:szCs w:val="28"/>
                    </w:rPr>
                    <w:t> relationship</w:t>
                  </w:r>
                </w:p>
                <w:p w14:paraId="09E35EA4" w14:textId="77777777" w:rsidR="00BC3715" w:rsidRDefault="00BC3715">
                  <w:pPr>
                    <w:widowControl w:val="0"/>
                    <w:numPr>
                      <w:ilvl w:val="0"/>
                      <w:numId w:val="3"/>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Problems in personal </w:t>
                  </w:r>
                  <w:hyperlink r:id="rId8" w:history="1">
                    <w:r>
                      <w:rPr>
                        <w:rFonts w:ascii="Century Gothic" w:hAnsi="Century Gothic" w:cs="Century Gothic"/>
                        <w:color w:val="103CC0"/>
                        <w:sz w:val="28"/>
                        <w:szCs w:val="28"/>
                        <w:u w:val="single" w:color="103CC0"/>
                      </w:rPr>
                      <w:t>relationships</w:t>
                    </w:r>
                  </w:hyperlink>
                </w:p>
                <w:p w14:paraId="72B27957" w14:textId="77777777" w:rsidR="00BC3715" w:rsidRDefault="00BC3715">
                  <w:pPr>
                    <w:widowControl w:val="0"/>
                    <w:numPr>
                      <w:ilvl w:val="0"/>
                      <w:numId w:val="3"/>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Poor work-life balance</w:t>
                  </w:r>
                </w:p>
                <w:p w14:paraId="43E5EE8C" w14:textId="77777777" w:rsidR="00BC3715" w:rsidRDefault="00BC3715">
                  <w:pPr>
                    <w:widowControl w:val="0"/>
                    <w:numPr>
                      <w:ilvl w:val="0"/>
                      <w:numId w:val="3"/>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Diminished sense of career fulfillment</w:t>
                  </w:r>
                </w:p>
                <w:p w14:paraId="66FD5915" w14:textId="77777777" w:rsidR="00BC3715" w:rsidRDefault="00BC3715">
                  <w:pPr>
                    <w:widowControl w:val="0"/>
                    <w:autoSpaceDE w:val="0"/>
                    <w:autoSpaceDN w:val="0"/>
                    <w:adjustRightInd w:val="0"/>
                    <w:rPr>
                      <w:rFonts w:ascii="Century Gothic" w:hAnsi="Century Gothic" w:cs="Century Gothic"/>
                      <w:color w:val="535353"/>
                      <w:sz w:val="28"/>
                      <w:szCs w:val="28"/>
                    </w:rPr>
                  </w:pPr>
                  <w:r>
                    <w:rPr>
                      <w:rFonts w:ascii="Century Gothic" w:hAnsi="Century Gothic" w:cs="Century Gothic"/>
                      <w:color w:val="535353"/>
                      <w:sz w:val="28"/>
                      <w:szCs w:val="28"/>
                    </w:rPr>
                    <w:t>The Mayo clinic lists the following burnout related problems: </w:t>
                  </w:r>
                  <w:hyperlink r:id="rId9" w:history="1">
                    <w:r>
                      <w:rPr>
                        <w:rFonts w:ascii="Century Gothic" w:hAnsi="Century Gothic" w:cs="Century Gothic"/>
                        <w:color w:val="103CC0"/>
                        <w:sz w:val="28"/>
                        <w:szCs w:val="28"/>
                        <w:u w:val="single" w:color="103CC0"/>
                      </w:rPr>
                      <w:t>http://www.mayoclinic.org/healthy-lifestyle/adult-health/indepth/burnout/art-20046642?pg=2</w:t>
                    </w:r>
                  </w:hyperlink>
                </w:p>
                <w:p w14:paraId="204F6DDF" w14:textId="77777777" w:rsidR="00BC3715" w:rsidRDefault="00BC3715">
                  <w:pPr>
                    <w:widowControl w:val="0"/>
                    <w:autoSpaceDE w:val="0"/>
                    <w:autoSpaceDN w:val="0"/>
                    <w:adjustRightInd w:val="0"/>
                    <w:rPr>
                      <w:rFonts w:ascii="Century Gothic" w:hAnsi="Century Gothic" w:cs="Century Gothic"/>
                      <w:color w:val="535353"/>
                      <w:sz w:val="28"/>
                      <w:szCs w:val="28"/>
                    </w:rPr>
                  </w:pPr>
                  <w:r>
                    <w:rPr>
                      <w:rFonts w:ascii="Century Gothic" w:hAnsi="Century Gothic" w:cs="Century Gothic"/>
                      <w:color w:val="535353"/>
                      <w:sz w:val="28"/>
                      <w:szCs w:val="28"/>
                    </w:rPr>
                    <w:t> </w:t>
                  </w:r>
                </w:p>
                <w:p w14:paraId="2236C56D" w14:textId="77777777" w:rsidR="00BC3715" w:rsidRDefault="00BC3715">
                  <w:pPr>
                    <w:widowControl w:val="0"/>
                    <w:autoSpaceDE w:val="0"/>
                    <w:autoSpaceDN w:val="0"/>
                    <w:adjustRightInd w:val="0"/>
                    <w:rPr>
                      <w:rFonts w:ascii="Century Gothic" w:hAnsi="Century Gothic" w:cs="Century Gothic"/>
                      <w:color w:val="535353"/>
                      <w:sz w:val="28"/>
                      <w:szCs w:val="28"/>
                    </w:rPr>
                  </w:pPr>
                  <w:r>
                    <w:rPr>
                      <w:rFonts w:ascii="Century Gothic" w:hAnsi="Century Gothic" w:cs="Century Gothic"/>
                      <w:b/>
                      <w:bCs/>
                      <w:color w:val="535353"/>
                      <w:sz w:val="28"/>
                      <w:szCs w:val="28"/>
                    </w:rPr>
                    <w:t>Addressing Burnout and Compassion Fatigue</w:t>
                  </w:r>
                </w:p>
                <w:p w14:paraId="2A40B007" w14:textId="77777777" w:rsidR="00BC3715" w:rsidRDefault="00BC3715">
                  <w:pPr>
                    <w:widowControl w:val="0"/>
                    <w:autoSpaceDE w:val="0"/>
                    <w:autoSpaceDN w:val="0"/>
                    <w:adjustRightInd w:val="0"/>
                    <w:rPr>
                      <w:rFonts w:ascii="Century Gothic" w:hAnsi="Century Gothic" w:cs="Century Gothic"/>
                      <w:color w:val="535353"/>
                      <w:sz w:val="28"/>
                      <w:szCs w:val="28"/>
                    </w:rPr>
                  </w:pPr>
                  <w:r>
                    <w:rPr>
                      <w:rFonts w:ascii="Century Gothic" w:hAnsi="Century Gothic" w:cs="Century Gothic"/>
                      <w:color w:val="535353"/>
                      <w:sz w:val="28"/>
                      <w:szCs w:val="28"/>
                    </w:rPr>
                    <w:t>One of the most critical shifts individuals need to make to avoid the harmful effects of compassion fatigue is to set firm emotional boundaries in a way that maintains an empathic connection while avoiding over-identification and involvement in a person’s suffering. Assuming unrealistic responsibility for a client’s life choices and problems can lead to frustration, disappointments, self-blame, and anxiety – all risk factors for emotional exhaustion and disconnecting from others. Organizations also play an important role in mitigating the most harmful effects of burnout and compassion fatigue by providing supportive supervision, encouraging work and personal life balance, and demonstrating, through policies and practices, a genuine regard for the well-being of their staff.</w:t>
                  </w:r>
                </w:p>
                <w:p w14:paraId="0EADD6AF" w14:textId="77777777" w:rsidR="00BC3715" w:rsidRDefault="00BC3715">
                  <w:pPr>
                    <w:widowControl w:val="0"/>
                    <w:numPr>
                      <w:ilvl w:val="0"/>
                      <w:numId w:val="4"/>
                    </w:numPr>
                    <w:tabs>
                      <w:tab w:val="left" w:pos="220"/>
                      <w:tab w:val="left" w:pos="720"/>
                    </w:tabs>
                    <w:autoSpaceDE w:val="0"/>
                    <w:autoSpaceDN w:val="0"/>
                    <w:adjustRightInd w:val="0"/>
                    <w:ind w:hanging="720"/>
                    <w:rPr>
                      <w:rFonts w:ascii="Century Gothic" w:hAnsi="Century Gothic" w:cs="Century Gothic"/>
                      <w:color w:val="535353"/>
                      <w:sz w:val="28"/>
                      <w:szCs w:val="28"/>
                    </w:rPr>
                  </w:pPr>
                  <w:hyperlink r:id="rId10" w:history="1">
                    <w:r>
                      <w:rPr>
                        <w:rFonts w:ascii="Century Gothic" w:hAnsi="Century Gothic" w:cs="Century Gothic"/>
                        <w:color w:val="103CC0"/>
                        <w:sz w:val="28"/>
                        <w:szCs w:val="28"/>
                        <w:u w:val="single"/>
                      </w:rPr>
                      <w:t>The American Psychological Association</w:t>
                    </w:r>
                  </w:hyperlink>
                  <w:r>
                    <w:rPr>
                      <w:rFonts w:ascii="Century Gothic" w:hAnsi="Century Gothic" w:cs="Century Gothic"/>
                      <w:color w:val="535353"/>
                      <w:sz w:val="28"/>
                      <w:szCs w:val="28"/>
                    </w:rPr>
                    <w:t xml:space="preserve"> identifies 10 strategies individuals may employ to strengthen resilience against the harmful effects of burnout.</w:t>
                  </w:r>
                </w:p>
                <w:p w14:paraId="3E11BEC2" w14:textId="77777777" w:rsidR="00BC3715" w:rsidRDefault="00BC3715">
                  <w:pPr>
                    <w:widowControl w:val="0"/>
                    <w:numPr>
                      <w:ilvl w:val="0"/>
                      <w:numId w:val="4"/>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 xml:space="preserve">The Harvard Business Review has offered a list of </w:t>
                  </w:r>
                  <w:hyperlink r:id="rId11" w:history="1">
                    <w:r>
                      <w:rPr>
                        <w:rFonts w:ascii="Century Gothic" w:hAnsi="Century Gothic" w:cs="Century Gothic"/>
                        <w:color w:val="103CC0"/>
                        <w:sz w:val="28"/>
                        <w:szCs w:val="28"/>
                        <w:u w:val="single" w:color="103CC0"/>
                      </w:rPr>
                      <w:t>five ways to build resilience at work</w:t>
                    </w:r>
                  </w:hyperlink>
                  <w:r>
                    <w:rPr>
                      <w:rFonts w:ascii="Century Gothic" w:hAnsi="Century Gothic" w:cs="Century Gothic"/>
                      <w:color w:val="535353"/>
                      <w:sz w:val="28"/>
                      <w:szCs w:val="28"/>
                    </w:rPr>
                    <w:t xml:space="preserve">, and you can read this </w:t>
                  </w:r>
                  <w:hyperlink r:id="rId12" w:history="1">
                    <w:r>
                      <w:rPr>
                        <w:rFonts w:ascii="Century Gothic" w:hAnsi="Century Gothic" w:cs="Century Gothic"/>
                        <w:color w:val="103CC0"/>
                        <w:sz w:val="28"/>
                        <w:szCs w:val="28"/>
                        <w:u w:val="single" w:color="103CC0"/>
                      </w:rPr>
                      <w:t>Mindful article</w:t>
                    </w:r>
                  </w:hyperlink>
                  <w:r>
                    <w:rPr>
                      <w:rFonts w:ascii="Century Gothic" w:hAnsi="Century Gothic" w:cs="Century Gothic"/>
                      <w:color w:val="535353"/>
                      <w:sz w:val="28"/>
                      <w:szCs w:val="28"/>
                    </w:rPr>
                    <w:t xml:space="preserve"> on the implementation of a mindfulness program for staff at Harvard.</w:t>
                  </w:r>
                </w:p>
                <w:p w14:paraId="49CFE162" w14:textId="77777777" w:rsidR="00BC3715" w:rsidRDefault="00BC3715">
                  <w:pPr>
                    <w:widowControl w:val="0"/>
                    <w:numPr>
                      <w:ilvl w:val="0"/>
                      <w:numId w:val="4"/>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 xml:space="preserve">You can use the </w:t>
                  </w:r>
                  <w:hyperlink r:id="rId13" w:history="1">
                    <w:r>
                      <w:rPr>
                        <w:rFonts w:ascii="Century Gothic" w:hAnsi="Century Gothic" w:cs="Century Gothic"/>
                        <w:color w:val="103CC0"/>
                        <w:sz w:val="28"/>
                        <w:szCs w:val="28"/>
                        <w:u w:val="single" w:color="103CC0"/>
                      </w:rPr>
                      <w:t>Professional Quality of Life Scale (</w:t>
                    </w:r>
                    <w:proofErr w:type="spellStart"/>
                    <w:r>
                      <w:rPr>
                        <w:rFonts w:ascii="Century Gothic" w:hAnsi="Century Gothic" w:cs="Century Gothic"/>
                        <w:color w:val="103CC0"/>
                        <w:sz w:val="28"/>
                        <w:szCs w:val="28"/>
                        <w:u w:val="single" w:color="103CC0"/>
                      </w:rPr>
                      <w:t>ProQOL</w:t>
                    </w:r>
                    <w:proofErr w:type="spellEnd"/>
                    <w:r>
                      <w:rPr>
                        <w:rFonts w:ascii="Century Gothic" w:hAnsi="Century Gothic" w:cs="Century Gothic"/>
                        <w:color w:val="103CC0"/>
                        <w:sz w:val="28"/>
                        <w:szCs w:val="28"/>
                        <w:u w:val="single" w:color="103CC0"/>
                      </w:rPr>
                      <w:t>)</w:t>
                    </w:r>
                  </w:hyperlink>
                  <w:r>
                    <w:rPr>
                      <w:rFonts w:ascii="Century Gothic" w:hAnsi="Century Gothic" w:cs="Century Gothic"/>
                      <w:color w:val="535353"/>
                      <w:sz w:val="28"/>
                      <w:szCs w:val="28"/>
                    </w:rPr>
                    <w:t xml:space="preserve"> to measure staff burnout, compassion satisfaction, and fatigue at your organization.</w:t>
                  </w:r>
                </w:p>
                <w:p w14:paraId="47063C53" w14:textId="77777777" w:rsidR="00BC3715" w:rsidRDefault="00BC3715">
                  <w:pPr>
                    <w:widowControl w:val="0"/>
                    <w:numPr>
                      <w:ilvl w:val="0"/>
                      <w:numId w:val="4"/>
                    </w:numPr>
                    <w:tabs>
                      <w:tab w:val="left" w:pos="220"/>
                      <w:tab w:val="left" w:pos="720"/>
                    </w:tabs>
                    <w:autoSpaceDE w:val="0"/>
                    <w:autoSpaceDN w:val="0"/>
                    <w:adjustRightInd w:val="0"/>
                    <w:ind w:hanging="720"/>
                    <w:rPr>
                      <w:rFonts w:ascii="Century Gothic" w:hAnsi="Century Gothic" w:cs="Century Gothic"/>
                      <w:color w:val="535353"/>
                      <w:sz w:val="28"/>
                      <w:szCs w:val="28"/>
                    </w:rPr>
                  </w:pPr>
                  <w:hyperlink r:id="rId14" w:history="1">
                    <w:r>
                      <w:rPr>
                        <w:rFonts w:ascii="Century Gothic" w:hAnsi="Century Gothic" w:cs="Century Gothic"/>
                        <w:color w:val="103CC0"/>
                        <w:sz w:val="28"/>
                        <w:szCs w:val="28"/>
                        <w:u w:val="single"/>
                      </w:rPr>
                      <w:t>The Provider Resilience app</w:t>
                    </w:r>
                  </w:hyperlink>
                  <w:r>
                    <w:rPr>
                      <w:rFonts w:ascii="Century Gothic" w:hAnsi="Century Gothic" w:cs="Century Gothic"/>
                      <w:color w:val="535353"/>
                      <w:sz w:val="28"/>
                      <w:szCs w:val="28"/>
                    </w:rPr>
                    <w:t xml:space="preserve">, the first app focused on building resilience for health care providers, was developed by the Defense Department’s National Center for Telehealth and Technology. The app allows providers to complete self-assessments of the </w:t>
                  </w:r>
                  <w:proofErr w:type="spellStart"/>
                  <w:r>
                    <w:rPr>
                      <w:rFonts w:ascii="Century Gothic" w:hAnsi="Century Gothic" w:cs="Century Gothic"/>
                      <w:color w:val="535353"/>
                      <w:sz w:val="28"/>
                      <w:szCs w:val="28"/>
                    </w:rPr>
                    <w:t>ProQOL</w:t>
                  </w:r>
                  <w:proofErr w:type="spellEnd"/>
                  <w:r>
                    <w:rPr>
                      <w:rFonts w:ascii="Century Gothic" w:hAnsi="Century Gothic" w:cs="Century Gothic"/>
                      <w:color w:val="535353"/>
                      <w:sz w:val="28"/>
                      <w:szCs w:val="28"/>
                    </w:rPr>
                    <w:t xml:space="preserve"> to help providers measure their level of burnout and secondary traumatic stress as well as compassion satisfaction.</w:t>
                  </w:r>
                </w:p>
                <w:p w14:paraId="5545202E" w14:textId="77777777" w:rsidR="00BC3715" w:rsidRDefault="00BC3715">
                  <w:pPr>
                    <w:widowControl w:val="0"/>
                    <w:numPr>
                      <w:ilvl w:val="0"/>
                      <w:numId w:val="4"/>
                    </w:numPr>
                    <w:tabs>
                      <w:tab w:val="left" w:pos="220"/>
                      <w:tab w:val="left" w:pos="720"/>
                    </w:tabs>
                    <w:autoSpaceDE w:val="0"/>
                    <w:autoSpaceDN w:val="0"/>
                    <w:adjustRightInd w:val="0"/>
                    <w:ind w:hanging="720"/>
                    <w:rPr>
                      <w:rFonts w:ascii="Century Gothic" w:hAnsi="Century Gothic" w:cs="Century Gothic"/>
                      <w:color w:val="535353"/>
                      <w:sz w:val="28"/>
                      <w:szCs w:val="28"/>
                    </w:rPr>
                  </w:pPr>
                  <w:r>
                    <w:rPr>
                      <w:rFonts w:ascii="Century Gothic" w:hAnsi="Century Gothic" w:cs="Century Gothic"/>
                      <w:color w:val="535353"/>
                      <w:sz w:val="28"/>
                      <w:szCs w:val="28"/>
                    </w:rPr>
                    <w:t xml:space="preserve">The </w:t>
                  </w:r>
                  <w:hyperlink r:id="rId15" w:history="1">
                    <w:r>
                      <w:rPr>
                        <w:rFonts w:ascii="Century Gothic" w:hAnsi="Century Gothic" w:cs="Century Gothic"/>
                        <w:color w:val="103CC0"/>
                        <w:sz w:val="28"/>
                        <w:szCs w:val="28"/>
                        <w:u w:val="single" w:color="103CC0"/>
                      </w:rPr>
                      <w:t xml:space="preserve">Trauma Resource Institute's </w:t>
                    </w:r>
                    <w:proofErr w:type="spellStart"/>
                    <w:r>
                      <w:rPr>
                        <w:rFonts w:ascii="Century Gothic" w:hAnsi="Century Gothic" w:cs="Century Gothic"/>
                        <w:color w:val="103CC0"/>
                        <w:sz w:val="28"/>
                        <w:szCs w:val="28"/>
                        <w:u w:val="single" w:color="103CC0"/>
                      </w:rPr>
                      <w:t>iChill</w:t>
                    </w:r>
                    <w:proofErr w:type="spellEnd"/>
                    <w:r>
                      <w:rPr>
                        <w:rFonts w:ascii="Century Gothic" w:hAnsi="Century Gothic" w:cs="Century Gothic"/>
                        <w:color w:val="103CC0"/>
                        <w:sz w:val="28"/>
                        <w:szCs w:val="28"/>
                        <w:u w:val="single" w:color="103CC0"/>
                      </w:rPr>
                      <w:t xml:space="preserve"> app</w:t>
                    </w:r>
                  </w:hyperlink>
                  <w:r>
                    <w:rPr>
                      <w:rFonts w:ascii="Century Gothic" w:hAnsi="Century Gothic" w:cs="Century Gothic"/>
                      <w:color w:val="535353"/>
                      <w:sz w:val="28"/>
                      <w:szCs w:val="28"/>
                    </w:rPr>
                    <w:t xml:space="preserve"> allows users to monitor their stress levels and suggests methods for reducing stress and preventing burnout and/or compassion fatigue using the </w:t>
                  </w:r>
                  <w:hyperlink r:id="rId16" w:history="1">
                    <w:r>
                      <w:rPr>
                        <w:rFonts w:ascii="Century Gothic" w:hAnsi="Century Gothic" w:cs="Century Gothic"/>
                        <w:color w:val="103CC0"/>
                        <w:sz w:val="28"/>
                        <w:szCs w:val="28"/>
                        <w:u w:val="single" w:color="103CC0"/>
                      </w:rPr>
                      <w:t>Trauma Resiliency Model</w:t>
                    </w:r>
                  </w:hyperlink>
                  <w:r>
                    <w:rPr>
                      <w:rFonts w:ascii="Century Gothic" w:hAnsi="Century Gothic" w:cs="Century Gothic"/>
                      <w:color w:val="535353"/>
                      <w:sz w:val="28"/>
                      <w:szCs w:val="28"/>
                    </w:rPr>
                    <w:t xml:space="preserve"> and </w:t>
                  </w:r>
                  <w:hyperlink r:id="rId17" w:history="1">
                    <w:r>
                      <w:rPr>
                        <w:rFonts w:ascii="Century Gothic" w:hAnsi="Century Gothic" w:cs="Century Gothic"/>
                        <w:color w:val="103CC0"/>
                        <w:sz w:val="28"/>
                        <w:szCs w:val="28"/>
                        <w:u w:val="single" w:color="103CC0"/>
                      </w:rPr>
                      <w:t>Community Resiliency Model</w:t>
                    </w:r>
                  </w:hyperlink>
                  <w:r>
                    <w:rPr>
                      <w:rFonts w:ascii="Century Gothic" w:hAnsi="Century Gothic" w:cs="Century Gothic"/>
                      <w:color w:val="535353"/>
                      <w:sz w:val="28"/>
                      <w:szCs w:val="28"/>
                    </w:rPr>
                    <w:t>.</w:t>
                  </w:r>
                </w:p>
                <w:p w14:paraId="57F0715B" w14:textId="77777777" w:rsidR="00BC3715" w:rsidRDefault="00BC3715">
                  <w:pPr>
                    <w:widowControl w:val="0"/>
                    <w:autoSpaceDE w:val="0"/>
                    <w:autoSpaceDN w:val="0"/>
                    <w:adjustRightInd w:val="0"/>
                    <w:rPr>
                      <w:rFonts w:ascii="Century Gothic" w:hAnsi="Century Gothic" w:cs="Century Gothic"/>
                      <w:color w:val="535353"/>
                      <w:sz w:val="28"/>
                      <w:szCs w:val="28"/>
                    </w:rPr>
                  </w:pPr>
                  <w:r>
                    <w:rPr>
                      <w:rFonts w:ascii="Century Gothic" w:hAnsi="Century Gothic" w:cs="Century Gothic"/>
                      <w:color w:val="535353"/>
                      <w:sz w:val="28"/>
                      <w:szCs w:val="28"/>
                    </w:rPr>
                    <w:t xml:space="preserve">Have questions or looking for additional information about burnout and compassion fatigue? Email us at </w:t>
                  </w:r>
                  <w:hyperlink r:id="rId18" w:history="1">
                    <w:r>
                      <w:rPr>
                        <w:rFonts w:ascii="Century Gothic" w:hAnsi="Century Gothic" w:cs="Century Gothic"/>
                        <w:color w:val="103CC0"/>
                        <w:sz w:val="28"/>
                        <w:szCs w:val="28"/>
                        <w:u w:val="single" w:color="103CC0"/>
                      </w:rPr>
                      <w:t>Integration@TheNationalCouncil.org</w:t>
                    </w:r>
                  </w:hyperlink>
                  <w:r>
                    <w:rPr>
                      <w:rFonts w:ascii="Century Gothic" w:hAnsi="Century Gothic" w:cs="Century Gothic"/>
                      <w:color w:val="535353"/>
                      <w:sz w:val="28"/>
                      <w:szCs w:val="28"/>
                    </w:rPr>
                    <w:t>.</w:t>
                  </w:r>
                </w:p>
              </w:tc>
            </w:tr>
            <w:tr w:rsidR="00BC3715" w14:paraId="1DC6DF40" w14:textId="77777777">
              <w:tblPrEx>
                <w:tblCellMar>
                  <w:top w:w="0" w:type="dxa"/>
                  <w:left w:w="0" w:type="dxa"/>
                  <w:bottom w:w="0" w:type="dxa"/>
                  <w:right w:w="0" w:type="dxa"/>
                </w:tblCellMar>
              </w:tblPrEx>
              <w:tc>
                <w:tcPr>
                  <w:tcW w:w="10000" w:type="dxa"/>
                  <w:tcBorders>
                    <w:top w:val="nil"/>
                    <w:left w:val="nil"/>
                    <w:bottom w:val="nil"/>
                    <w:right w:val="nil"/>
                  </w:tcBorders>
                  <w:vAlign w:val="center"/>
                </w:tcPr>
                <w:p w14:paraId="4299B523" w14:textId="77777777" w:rsidR="00BC3715" w:rsidRDefault="00BC3715">
                  <w:pPr>
                    <w:widowControl w:val="0"/>
                    <w:autoSpaceDE w:val="0"/>
                    <w:autoSpaceDN w:val="0"/>
                    <w:adjustRightInd w:val="0"/>
                    <w:rPr>
                      <w:rFonts w:ascii="Arial" w:hAnsi="Arial" w:cs="Arial"/>
                      <w:color w:val="1A1A1A"/>
                      <w:sz w:val="25"/>
                      <w:szCs w:val="25"/>
                    </w:rPr>
                  </w:pPr>
                </w:p>
              </w:tc>
            </w:tr>
          </w:tbl>
          <w:p w14:paraId="37B83ADC" w14:textId="77777777" w:rsidR="00BC3715" w:rsidRDefault="00BC3715">
            <w:pPr>
              <w:widowControl w:val="0"/>
              <w:autoSpaceDE w:val="0"/>
              <w:autoSpaceDN w:val="0"/>
              <w:adjustRightInd w:val="0"/>
              <w:rPr>
                <w:rFonts w:ascii="Arial" w:hAnsi="Arial" w:cs="Arial"/>
                <w:color w:val="1A1A1A"/>
                <w:sz w:val="25"/>
                <w:szCs w:val="25"/>
              </w:rPr>
            </w:pPr>
          </w:p>
        </w:tc>
      </w:tr>
    </w:tbl>
    <w:p w14:paraId="0B52534D" w14:textId="77777777" w:rsidR="00576BA7" w:rsidRDefault="00576BA7">
      <w:bookmarkStart w:id="0" w:name="_GoBack"/>
      <w:bookmarkEnd w:id="0"/>
    </w:p>
    <w:sectPr w:rsidR="00576BA7" w:rsidSect="005F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15"/>
    <w:rsid w:val="002B19F1"/>
    <w:rsid w:val="00366C53"/>
    <w:rsid w:val="00576BA7"/>
    <w:rsid w:val="005F6B0C"/>
    <w:rsid w:val="00BC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4854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ncbh.msgfocus.com/c/15O6b4RTvgcc4ivbatyg1IaXN2" TargetMode="External"/><Relationship Id="rId20" Type="http://schemas.openxmlformats.org/officeDocument/2006/relationships/theme" Target="theme/theme1.xml"/><Relationship Id="rId10" Type="http://schemas.openxmlformats.org/officeDocument/2006/relationships/hyperlink" Target="http://ncbh.msgfocus.com/c/15O6cuDt6KhP3A3znu6TJFGtMa" TargetMode="External"/><Relationship Id="rId11" Type="http://schemas.openxmlformats.org/officeDocument/2006/relationships/hyperlink" Target="http://ncbh.msgfocus.com/c/15O6dcwfUukDydPLtZodAEreLJ" TargetMode="External"/><Relationship Id="rId12" Type="http://schemas.openxmlformats.org/officeDocument/2006/relationships/hyperlink" Target="http://ncbh.msgfocus.com/c/15O6dUp2Iens2RBXAuFxrDbZLi" TargetMode="External"/><Relationship Id="rId13" Type="http://schemas.openxmlformats.org/officeDocument/2006/relationships/hyperlink" Target="http://ncbh.msgfocus.com/c/15O6eChPvYqgxvo9GZWRiBWKKR" TargetMode="External"/><Relationship Id="rId14" Type="http://schemas.openxmlformats.org/officeDocument/2006/relationships/hyperlink" Target="http://ncbh.msgfocus.com/c/15O6fkaCjIt529alNveb9AHvKq" TargetMode="External"/><Relationship Id="rId15" Type="http://schemas.openxmlformats.org/officeDocument/2006/relationships/hyperlink" Target="http://ncbh.msgfocus.com/c/15O6g23p7svTwMWxU0vv0zsgJZ" TargetMode="External"/><Relationship Id="rId16" Type="http://schemas.openxmlformats.org/officeDocument/2006/relationships/hyperlink" Target="http://ncbh.msgfocus.com/c/15O6gJWbVcyI1qIK0vMORyd1Jy" TargetMode="External"/><Relationship Id="rId17" Type="http://schemas.openxmlformats.org/officeDocument/2006/relationships/hyperlink" Target="http://ncbh.msgfocus.com/c/15O6hrOYIWBww4uW7148IwXMJ7" TargetMode="External"/><Relationship Id="rId18" Type="http://schemas.openxmlformats.org/officeDocument/2006/relationships/hyperlink" Target="mailto:Integration@TheNationalCouncil.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cbh.msgfocus.com/c/15O68fkKii0W5JooKsqYBN9VOM" TargetMode="External"/><Relationship Id="rId6" Type="http://schemas.openxmlformats.org/officeDocument/2006/relationships/hyperlink" Target="http://ncbh.msgfocus.com/c/15O68Xdx623KAnaAQXIisLUGOl" TargetMode="External"/><Relationship Id="rId7" Type="http://schemas.openxmlformats.org/officeDocument/2006/relationships/hyperlink" Target="http://ncbh.msgfocus.com/c/15O69F6jTM6z50WMXsZCjKFrNU" TargetMode="External"/><Relationship Id="rId8" Type="http://schemas.openxmlformats.org/officeDocument/2006/relationships/hyperlink" Target="http://ncbh.msgfocus.com/c/15O6amZ6Hw9nzEIZ3YgWaJqc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4525</Characters>
  <Application>Microsoft Macintosh Word</Application>
  <DocSecurity>0</DocSecurity>
  <Lines>37</Lines>
  <Paragraphs>10</Paragraphs>
  <ScaleCrop>false</ScaleCrop>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Collins</dc:creator>
  <cp:keywords/>
  <dc:description/>
  <cp:lastModifiedBy>Dean Collins</cp:lastModifiedBy>
  <cp:revision>1</cp:revision>
  <dcterms:created xsi:type="dcterms:W3CDTF">2017-10-26T23:16:00Z</dcterms:created>
  <dcterms:modified xsi:type="dcterms:W3CDTF">2017-10-26T23:17:00Z</dcterms:modified>
</cp:coreProperties>
</file>